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5D7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p>
    <w:p w14:paraId="1AE30B20"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29 ноября 2024 г. N 80396</w:t>
      </w:r>
    </w:p>
    <w:p w14:paraId="132E9841" w14:textId="77777777" w:rsidR="0057179B" w:rsidRDefault="0057179B" w:rsidP="0057179B">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14:paraId="7D93AFFB"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25D31D22" w14:textId="77777777"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СЕЛЬСКОГО ХОЗЯЙСТВА РОССИЙСКОЙ ФЕДЕРАЦИИ</w:t>
      </w:r>
    </w:p>
    <w:p w14:paraId="2F115906"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47911372" w14:textId="77777777" w:rsidR="0057179B" w:rsidRDefault="0057179B" w:rsidP="0057179B">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14:paraId="23A3D535" w14:textId="77777777"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11 ноября 2024 г. N 677</w:t>
      </w:r>
    </w:p>
    <w:p w14:paraId="5F370F18"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5E4AF870" w14:textId="77777777"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ВЕТЕРИНАРНЫХ ПРАВИЛ СБОРА, ХРАНЕНИЯ, ПЕРЕМЕЩЕНИЯ, УТИЛИЗАЦИИ И УНИЧТОЖЕНИЯ БИОЛОГИЧЕСКИХ ОТХОДОВ</w:t>
      </w:r>
    </w:p>
    <w:p w14:paraId="7D29D007"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7" w:anchor="l1211" w:history="1">
        <w:r>
          <w:rPr>
            <w:rFonts w:ascii="Times New Roman" w:hAnsi="Times New Roman" w:cs="Times New Roman"/>
            <w:sz w:val="24"/>
            <w:szCs w:val="24"/>
            <w:u w:val="single"/>
          </w:rPr>
          <w:t>статьей 2.1</w:t>
        </w:r>
      </w:hyperlink>
      <w:r>
        <w:rPr>
          <w:rFonts w:ascii="Times New Roman" w:hAnsi="Times New Roman" w:cs="Times New Roman"/>
          <w:sz w:val="24"/>
          <w:szCs w:val="24"/>
        </w:rPr>
        <w:t xml:space="preserve"> Закона Российской Федерации от 14 мая 1993 г. N 4979-1 "О ветеринарии" и подпунктом 5.2.9 пункта 5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приказываю:</w:t>
      </w:r>
    </w:p>
    <w:p w14:paraId="481E9999"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 Ветеринарные правила сбора, хранения, перемещения, утилизации и уничтожения биологических отходов.</w:t>
      </w:r>
    </w:p>
    <w:p w14:paraId="58F76290"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Признать утратившим силу приказ Минсельхоза России </w:t>
      </w:r>
      <w:hyperlink r:id="rId8" w:anchor="l0" w:history="1">
        <w:r>
          <w:rPr>
            <w:rFonts w:ascii="Times New Roman" w:hAnsi="Times New Roman" w:cs="Times New Roman"/>
            <w:sz w:val="24"/>
            <w:szCs w:val="24"/>
            <w:u w:val="single"/>
          </w:rPr>
          <w:t>от 26 октября 2020 г. N 626</w:t>
        </w:r>
      </w:hyperlink>
      <w:r>
        <w:rPr>
          <w:rFonts w:ascii="Times New Roman" w:hAnsi="Times New Roman" w:cs="Times New Roman"/>
          <w:sz w:val="24"/>
          <w:szCs w:val="24"/>
        </w:rPr>
        <w:t xml:space="preserve"> "Об утверждении Ветеринарных правил перемещения, хранения, переработки и утилизации биологических отходов" (зарегистрирован Минюстом России 29 октября 2020 г., регистрационный N 60657).</w:t>
      </w:r>
    </w:p>
    <w:p w14:paraId="258D224E"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Настоящий приказ вступает в силу с 1 марта 2025 г. и действует до 1 марта 2031 г.</w:t>
      </w:r>
    </w:p>
    <w:p w14:paraId="3269C4B5"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1EAC1A57" w14:textId="77777777"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14:paraId="4B7B3321" w14:textId="77777777"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О.Н. ЛУТ</w:t>
      </w:r>
    </w:p>
    <w:p w14:paraId="50654351"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57D45B75" w14:textId="77777777"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УТВЕРЖДЕНЫ</w:t>
      </w:r>
    </w:p>
    <w:p w14:paraId="08C579F7" w14:textId="77777777"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Минсельхоза России</w:t>
      </w:r>
    </w:p>
    <w:p w14:paraId="1AE49FC5" w14:textId="77777777"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11 ноября 2024 г. N 677</w:t>
      </w:r>
    </w:p>
    <w:p w14:paraId="4FD21465"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496539A3" w14:textId="77777777"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ВЕТЕРИНАРНЫЕ ПРАВИЛА СБОРА, ХРАНЕНИЯ, ПЕРЕМЕЩЕНИЯ, УТИЛИЗАЦИИ И УНИЧТОЖЕНИЯ БИОЛОГИЧЕСКИХ ОТХОДОВ</w:t>
      </w:r>
    </w:p>
    <w:p w14:paraId="4B60FEFA"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Ветеринарные правила сбора, хранения, перемещения, утилизации и уничтожения </w:t>
      </w:r>
      <w:r>
        <w:rPr>
          <w:rFonts w:ascii="Times New Roman" w:hAnsi="Times New Roman" w:cs="Times New Roman"/>
          <w:sz w:val="24"/>
          <w:szCs w:val="24"/>
        </w:rPr>
        <w:lastRenderedPageBreak/>
        <w:t xml:space="preserve">биологических отходов (далее - Правила) устанавливают обязательные для исполнения организациями и гражданами требования при сборе, хранении, перемещении, утилизации и уничтожении биологических отходов, за исключением биологических отходов, относящихся к радиоактивным отходам в соответствии с </w:t>
      </w:r>
      <w:hyperlink r:id="rId9" w:anchor="l3" w:history="1">
        <w:r>
          <w:rPr>
            <w:rFonts w:ascii="Times New Roman" w:hAnsi="Times New Roman" w:cs="Times New Roman"/>
            <w:sz w:val="24"/>
            <w:szCs w:val="24"/>
            <w:u w:val="single"/>
          </w:rPr>
          <w:t>критериями</w:t>
        </w:r>
      </w:hyperlink>
      <w:r>
        <w:rPr>
          <w:rFonts w:ascii="Times New Roman" w:hAnsi="Times New Roman" w:cs="Times New Roman"/>
          <w:sz w:val="24"/>
          <w:szCs w:val="24"/>
        </w:rPr>
        <w:t xml:space="preserve"> отнесения твердых, жидких и газообразных отходов к радиоактивным отходам, </w:t>
      </w:r>
      <w:hyperlink r:id="rId10" w:anchor="l60" w:history="1">
        <w:r>
          <w:rPr>
            <w:rFonts w:ascii="Times New Roman" w:hAnsi="Times New Roman" w:cs="Times New Roman"/>
            <w:sz w:val="24"/>
            <w:szCs w:val="24"/>
            <w:u w:val="single"/>
          </w:rPr>
          <w:t>критериями</w:t>
        </w:r>
      </w:hyperlink>
      <w:r>
        <w:rPr>
          <w:rFonts w:ascii="Times New Roman" w:hAnsi="Times New Roman" w:cs="Times New Roman"/>
          <w:sz w:val="24"/>
          <w:szCs w:val="24"/>
        </w:rPr>
        <w:t xml:space="preserve"> отнесения радиоактивных отходов к особым радиоактивным отходам и к удаляемым радиоактивным отходам и </w:t>
      </w:r>
      <w:hyperlink r:id="rId11" w:anchor="l91" w:history="1">
        <w:r>
          <w:rPr>
            <w:rFonts w:ascii="Times New Roman" w:hAnsi="Times New Roman" w:cs="Times New Roman"/>
            <w:sz w:val="24"/>
            <w:szCs w:val="24"/>
            <w:u w:val="single"/>
          </w:rPr>
          <w:t>критериями</w:t>
        </w:r>
      </w:hyperlink>
      <w:r>
        <w:rPr>
          <w:rFonts w:ascii="Times New Roman" w:hAnsi="Times New Roman" w:cs="Times New Roman"/>
          <w:sz w:val="24"/>
          <w:szCs w:val="24"/>
        </w:rPr>
        <w:t xml:space="preserve"> классификации удаляемых радиоактивных отходов, утвержденными постановлением Правительства Российской Федерации от 19 октября 2012 г. N 1069, обращение с которыми регулируется Федеральным законом </w:t>
      </w:r>
      <w:hyperlink r:id="rId12" w:anchor="l0" w:history="1">
        <w:r>
          <w:rPr>
            <w:rFonts w:ascii="Times New Roman" w:hAnsi="Times New Roman" w:cs="Times New Roman"/>
            <w:sz w:val="24"/>
            <w:szCs w:val="24"/>
            <w:u w:val="single"/>
          </w:rPr>
          <w:t>от 11 июля 2011 г. N 190-ФЗ</w:t>
        </w:r>
      </w:hyperlink>
      <w:r>
        <w:rPr>
          <w:rFonts w:ascii="Times New Roman" w:hAnsi="Times New Roman" w:cs="Times New Roman"/>
          <w:sz w:val="24"/>
          <w:szCs w:val="24"/>
        </w:rPr>
        <w:t xml:space="preserve"> "Об обращении с радиоактивными отходами и о внесении изменений в отдельные законодательные акты Российской Федерации".</w:t>
      </w:r>
    </w:p>
    <w:p w14:paraId="632291B6"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Сбор биологических отходов осуществляется в местах их образования или обнаружения.</w:t>
      </w:r>
    </w:p>
    <w:p w14:paraId="403CEB9A"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Сбор, хранение биологических отходов и их перемещение к местам хранения, утилизации или уничтожения (далее - перемещение биологических отходов) должны осуществляться с использованием закрываемых емкостей, исключающих высыпание, утечку биологических отходов (далее - емкости для биологических отходов), если иное не установлено Правилами.</w:t>
      </w:r>
    </w:p>
    <w:p w14:paraId="7C274FC7"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использовании емкостей для биологических отходов за счет их конструктивных характеристик:</w:t>
      </w:r>
    </w:p>
    <w:p w14:paraId="0B2C8786"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должен допускаться прямой контакт содержимого таких емкостей с окружающей средой &lt;1&gt;;</w:t>
      </w:r>
    </w:p>
    <w:p w14:paraId="4657C777"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08C0B61"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Абзац второй </w:t>
      </w:r>
      <w:hyperlink r:id="rId13" w:anchor="l6" w:history="1">
        <w:r>
          <w:rPr>
            <w:rFonts w:ascii="Times New Roman" w:hAnsi="Times New Roman" w:cs="Times New Roman"/>
            <w:sz w:val="24"/>
            <w:szCs w:val="24"/>
            <w:u w:val="single"/>
          </w:rPr>
          <w:t>статьи 1</w:t>
        </w:r>
      </w:hyperlink>
      <w:r>
        <w:rPr>
          <w:rFonts w:ascii="Times New Roman" w:hAnsi="Times New Roman" w:cs="Times New Roman"/>
          <w:sz w:val="24"/>
          <w:szCs w:val="24"/>
        </w:rPr>
        <w:t xml:space="preserve"> Федерального закона от 10 января 2002 г. N 7-ФЗ "Об охране окружающей среды".</w:t>
      </w:r>
    </w:p>
    <w:p w14:paraId="079D5857"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3A52BBC0"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должна обеспечиваться защита емкости для биологических отходов от самопроизвольного открывания и проникновения в них животных;</w:t>
      </w:r>
    </w:p>
    <w:p w14:paraId="12F98CCB"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должна обеспечиваться устойчивость к процессам очищения, мойки и дезинфекции, воздействию моющих и дезинфицирующих средств (при многоразовом использовании емкостей для биологических отходов).</w:t>
      </w:r>
    </w:p>
    <w:p w14:paraId="0A9B0BA2"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Повторное использование одноразовых емкостей для биологических отходов не допускается.</w:t>
      </w:r>
    </w:p>
    <w:p w14:paraId="791A0F0E"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Емкости для биологических отходов в форме пакетов, мешков должны быть заполнены не более чем на 3/4 от их объема.</w:t>
      </w:r>
    </w:p>
    <w:p w14:paraId="77C077AE"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Для сбора, хранения, перемещения биологических отходов, включенных в перечень, установленный в соответствии с пунктом 3 статьи 4.3 Закона Российской Федерации </w:t>
      </w:r>
      <w:hyperlink r:id="rId14" w:anchor="l0" w:history="1">
        <w:r>
          <w:rPr>
            <w:rFonts w:ascii="Times New Roman" w:hAnsi="Times New Roman" w:cs="Times New Roman"/>
            <w:sz w:val="24"/>
            <w:szCs w:val="24"/>
            <w:u w:val="single"/>
          </w:rPr>
          <w:t>от 14 мая 1993 г. N 4979-1</w:t>
        </w:r>
      </w:hyperlink>
      <w:r>
        <w:rPr>
          <w:rFonts w:ascii="Times New Roman" w:hAnsi="Times New Roman" w:cs="Times New Roman"/>
          <w:sz w:val="24"/>
          <w:szCs w:val="24"/>
        </w:rPr>
        <w:t xml:space="preserve"> "О ветеринарии" (далее - Закон), за исключением биологических отходов, предусмотренных пунктом 5 Правил (далее - умеренно опасные биологические отходы), должны использоваться емкости для биологических отходов с надписью "умеренно опасные биологические отходы".</w:t>
      </w:r>
    </w:p>
    <w:p w14:paraId="2DBC481F"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Для сбора, хранения, перемещения биологических отходов, полученных от животных, в отношении которых по результатам проведенных исследований принято решение о направлении мяса и продуктов убоя (промысла) животных на уничтожение &lt;2&gt;, и (или) которые заражены возбудителями африканской чумы свиней, бешенства, </w:t>
      </w:r>
      <w:proofErr w:type="spellStart"/>
      <w:r>
        <w:rPr>
          <w:rFonts w:ascii="Times New Roman" w:hAnsi="Times New Roman" w:cs="Times New Roman"/>
          <w:sz w:val="24"/>
          <w:szCs w:val="24"/>
        </w:rPr>
        <w:t>блютанга</w:t>
      </w:r>
      <w:proofErr w:type="spellEnd"/>
      <w:r>
        <w:rPr>
          <w:rFonts w:ascii="Times New Roman" w:hAnsi="Times New Roman" w:cs="Times New Roman"/>
          <w:sz w:val="24"/>
          <w:szCs w:val="24"/>
        </w:rPr>
        <w:t>, высокопатогенного гриппа птиц, гриппа лошадей, губкообразной энцефалопатии крупного рогатого скота, оспы овец и коз, сапа, скрепи овец и коз, сибирской язвы, трихинеллеза, туляремии, чумы верблюдов, чумы крупного рогатого скота, чумы мелких жвачных животных, эмфизематозного карбункула (</w:t>
      </w:r>
      <w:proofErr w:type="spellStart"/>
      <w:r>
        <w:rPr>
          <w:rFonts w:ascii="Times New Roman" w:hAnsi="Times New Roman" w:cs="Times New Roman"/>
          <w:sz w:val="24"/>
          <w:szCs w:val="24"/>
        </w:rPr>
        <w:t>эмкара</w:t>
      </w:r>
      <w:proofErr w:type="spellEnd"/>
      <w:r>
        <w:rPr>
          <w:rFonts w:ascii="Times New Roman" w:hAnsi="Times New Roman" w:cs="Times New Roman"/>
          <w:sz w:val="24"/>
          <w:szCs w:val="24"/>
        </w:rPr>
        <w:t>), ящура и возбудителями болезней животных, впервые выявленными на территории Российской Федерации, и (или) которые являются материалами, повышающими риск передачи губкообразной энцефалопатии крупного рогатого скота &lt;3&gt;, и (или) в отношении которых невозможно подтвердить их происхождение или владелец не установлен (далее - особо опасные биологические отходы), должны использоваться емкости для биологических отходов с надписью "особо опасные биологические отходы".</w:t>
      </w:r>
    </w:p>
    <w:p w14:paraId="2B27951F"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28908128"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Подпункт "г" пункта 22 Ветеринарных правил назначения и проведения ветеринарно-санитарной экспертизы мяса и продуктов убоя (промысла) животных, предназначенных для переработки и (или) реализации, утвержденных приказом Минсельхоза России от 28 апреля 2022 г. N 269 (зарегистрирован Минюстом России 2 июня 2022 г., регистрационный N 68718), с изменениями, внесенными приказами Минсельхоза России от 18 ноября 2022 г. N 818 (зарегистрирован Минюстом России 24 января 2023 г., регистрационный N 72115) и от 16 мая 2023 г. N 501 (зарегистрирован Минюстом России 16 июня 2023 г., регистрационный N 73866) (далее - приказ N 269). Согласно пункту 4 приказа N 269 данный акт действует до 1 сентября 2028 г.</w:t>
      </w:r>
    </w:p>
    <w:p w14:paraId="4AB7AC87"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Абзац седьмой пункта 7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губкообразной энцефалопатии крупного рогатого скота, утвержденных приказом Минсельхоза России от 21 мая 2021 г. N 327 (зарегистрирован Минюстом России 31 мая 2021 г., регистрационный N 63691) (далее - приказ N 327). Согласно пункту 2 приказа N 327 данный акт действует до 1 сентября 2027 г.</w:t>
      </w:r>
    </w:p>
    <w:p w14:paraId="03629E73"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7965485D"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Хранение биологических отходов должно осуществляться в емкостях для биологических отходов, расположенных в помещениях для хранения биологических отходов, оборудованных запирающими устройствами для предотвращения доступа к биологическим отходам посторонних лиц и животных, охладительным или морозильным оборудованием, укомплектованным термометрами (термографами, </w:t>
      </w:r>
      <w:proofErr w:type="spellStart"/>
      <w:r>
        <w:rPr>
          <w:rFonts w:ascii="Times New Roman" w:hAnsi="Times New Roman" w:cs="Times New Roman"/>
          <w:sz w:val="24"/>
          <w:szCs w:val="24"/>
        </w:rPr>
        <w:t>терморегистраторами</w:t>
      </w:r>
      <w:proofErr w:type="spellEnd"/>
      <w:r>
        <w:rPr>
          <w:rFonts w:ascii="Times New Roman" w:hAnsi="Times New Roman" w:cs="Times New Roman"/>
          <w:sz w:val="24"/>
          <w:szCs w:val="24"/>
        </w:rPr>
        <w:t>) (далее - помещения для хранения биологических отходов), за исключением случая, установленного пунктом 7 Правил.</w:t>
      </w:r>
    </w:p>
    <w:p w14:paraId="3D960688"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Допускается хранение умеренно опасных биологических отходов в емкостях для биологических отходов, расположенных в холодильниках, оборудованных запирающими устройствами для предотвращения доступа к биологическим отходам посторонних лиц и животных и термометрами (термографами, </w:t>
      </w:r>
      <w:proofErr w:type="spellStart"/>
      <w:r>
        <w:rPr>
          <w:rFonts w:ascii="Times New Roman" w:hAnsi="Times New Roman" w:cs="Times New Roman"/>
          <w:sz w:val="24"/>
          <w:szCs w:val="24"/>
        </w:rPr>
        <w:t>терморегистраторами</w:t>
      </w:r>
      <w:proofErr w:type="spellEnd"/>
      <w:r>
        <w:rPr>
          <w:rFonts w:ascii="Times New Roman" w:hAnsi="Times New Roman" w:cs="Times New Roman"/>
          <w:sz w:val="24"/>
          <w:szCs w:val="24"/>
        </w:rPr>
        <w:t>).</w:t>
      </w:r>
    </w:p>
    <w:p w14:paraId="3F8554DD"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Стены, перегородки, потолок, пол в помещениях для хранения биологических отходов должны быть выполнены из материалов, устойчивых к воздействию моющих и дезинфицирующих средств. Внутренние поверхности помещения для хранения биологических отходов и инвентарь в таких помещениях, которые сделаны из деревянных материалов, должны быть окрашены.</w:t>
      </w:r>
    </w:p>
    <w:p w14:paraId="79158ABB"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допускается хранение биологических отходов в одном помещении с продукцией животного происхождения, кормами и (или) кормовыми добавками.</w:t>
      </w:r>
    </w:p>
    <w:p w14:paraId="4A78301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Срок хранения биологических отходов не должен превышать:</w:t>
      </w:r>
    </w:p>
    <w:p w14:paraId="7FD94AC0"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плюс 4 до 0 °C - 2 суток;</w:t>
      </w:r>
    </w:p>
    <w:p w14:paraId="4E159FA2"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1 до минус 7 °C - 3 суток;</w:t>
      </w:r>
    </w:p>
    <w:p w14:paraId="2E99FBAB"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8 до минус 10 °C - 7 суток;</w:t>
      </w:r>
    </w:p>
    <w:p w14:paraId="6458A596"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11 до минус 17 °C - 30 суток;</w:t>
      </w:r>
    </w:p>
    <w:p w14:paraId="37D55CDC"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18 °C и ниже - 12 месяцев.</w:t>
      </w:r>
    </w:p>
    <w:p w14:paraId="0F5836F2"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Для хранения умеренно опасных биологических отходов, образовавшихся на территориях, используемых организациями и гражданами &lt;4&gt;, осуществляющими разведение и содержание животных, в течение не более чем 48 часов с момента их образования допускается размещение емкостей для биологических отходов на указанных территориях на площадке для временного хранения биологических отходов, которая должна быть оборудована навесом, иметь твердое, влагонепроницаемое покрытие с уклонами, обеспечивающими стоки и отвод сточных вод и атмосферных осадков, без соблюдения положений, предусмотренных пунктами 6 - 10 Правил. Площадка для временного хранения биологических отходов должна быть расположена на границе территорий, используемых организациями и гражданами, с подветренной стороны по отношению к местам для содержания животных и иметь подъездные пути.</w:t>
      </w:r>
    </w:p>
    <w:p w14:paraId="46409F48"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82B5DEE"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Пункт 1 статьи 4.4 </w:t>
      </w:r>
      <w:hyperlink r:id="rId15" w:anchor="l0" w:history="1">
        <w:r>
          <w:rPr>
            <w:rFonts w:ascii="Times New Roman" w:hAnsi="Times New Roman" w:cs="Times New Roman"/>
            <w:sz w:val="24"/>
            <w:szCs w:val="24"/>
            <w:u w:val="single"/>
          </w:rPr>
          <w:t>Закона</w:t>
        </w:r>
      </w:hyperlink>
      <w:r>
        <w:rPr>
          <w:rFonts w:ascii="Times New Roman" w:hAnsi="Times New Roman" w:cs="Times New Roman"/>
          <w:sz w:val="24"/>
          <w:szCs w:val="24"/>
        </w:rPr>
        <w:t>.</w:t>
      </w:r>
    </w:p>
    <w:p w14:paraId="72BF45F4"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2EEBA152"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Сбор и перемещение трупов животных, образовавшихся при одновременном массовом заболевании животных, а также трупов животных, масса каждого из которых составляет более 25 кг, за исключением трупов животных, контаминированных возбудителями сибирской язвы, чумы крупного рогатого скота, допускается осуществлять без использования емкостей для биологических отходов.</w:t>
      </w:r>
    </w:p>
    <w:p w14:paraId="20988E0C"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трупов животных, указанных в абзаце первом настоящего пункта Правил, допускается осуществлять с использованием транспортных средств, а также с соблюдением условий, указанных в пункте 13 Правил.</w:t>
      </w:r>
    </w:p>
    <w:p w14:paraId="178E323C"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Перемещение биологических отходов должно осуществляться способами, исключающими вытекание (высыпание) биологических отходов.</w:t>
      </w:r>
    </w:p>
    <w:p w14:paraId="4529F366"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Поверхности транспортных средств, которые контактировали с биологическими отходами, емкости для биологических отходов (за исключением одноразовых емкостей для биологических отходов), тенты или иные приспособления, используемые для накрывания биологических отходов при их перемещении, инвентарь, используемый при перемещении биологических отходов, должны дезинфицироваться после каждого случая перемещения биологических отходов с использованием 4-процентного раствора едкого натра, или 3-процентного раствора формальдегида, или раствора препаратов, содержащих не менее 3% активного хлора, при норме расхода жидкости 0,5 л на 1 м2, или другого дезинфицирующего средства, обладающего инактивирующим действием в отношении возбудителей особо опасных болезней животных, включенных в перечень заразных, в том числе особо опасных, болезней животных, по которым могут устанавливаться ограничительные мероприятия (карантин), утвержденный приказом Минсельхоза России от 19 декабря 2011 г. N 476 &lt;5&gt;.</w:t>
      </w:r>
    </w:p>
    <w:p w14:paraId="756B7475"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65F95A1"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Зарегистрирован Минюстом России 13 февраля 2012 г., регистрационный N 23206. С изменениями, внесенными приказами Минсельхоза России от 20 июля 2016 г. N 317 (зарегистрирован Минюстом России 9 августа 2016 г., регистрационный N 43179), от 30 января 2017 г. N 40 (зарегистрирован Минюстом России 27 февраля 2017 г., регистрационный N 45771), от 15 февраля 2017 г. N 67 (зарегистрирован Минюстом России 13 марта 2017 г., регистрационный N 45915), от 25 сентября 2020 г. N 565 (зарегистрирован Минюстом России 22 октября 2020 г., регистрационный N 60518).</w:t>
      </w:r>
    </w:p>
    <w:p w14:paraId="0BFC1556"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60CB4188"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Не допускается перемещение биологических отходов в одном транспортном средстве совместно с другими грузами.</w:t>
      </w:r>
    </w:p>
    <w:p w14:paraId="709DEE92"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Утилизация умеренно опасных биологических отходов допускается посредством производства кормов и кормовых добавок, удобрений, биогаза и другой продукции технического назначения.</w:t>
      </w:r>
    </w:p>
    <w:p w14:paraId="75D6540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Утилизация умеренно опасных биологических отходов, контаминированных возбудителями болезней животных, должна осуществляться при соблюдении режимов, обеспечивающих инактивацию возбудителей болезней животных.</w:t>
      </w:r>
    </w:p>
    <w:p w14:paraId="3A621CC2"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Для организаций и граждан, в процессе деятельности которых образуются умеренно опасные биологические отходы, допускается осуществлять утилизацию умеренно опасных биологических отходов посредством предварительного измельчения и последующей проварки в котлах или иных емкостях не менее 2 часов при температуре не менее 100 °C. Полученная продукция должна использоваться такими организациями и гражданами в течение 12 часов с момента приготовления для кормления животных, за исключением крупного рогатого скота, овец, коз, или направляться на утилизацию или уничтожение.</w:t>
      </w:r>
    </w:p>
    <w:p w14:paraId="60F6095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Утилизация особо опасных биологических отходов не допускается.</w:t>
      </w:r>
    </w:p>
    <w:p w14:paraId="59D0C6F6"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Ввоз на территорию организаций и граждан, на которой осуществляется разведение и содержание животных, умеренно опасных биологических отходов для хранения, утилизации и (или) уничтожения допускается с территорий организаций и граждан, осуществляющих разведение и содержание животных, расположенных в регионе со статусом "благополучный регион" &lt;6&gt; по заразным болезням животных. Места хранения, утилизации и уничтожения ввезенных умеренно опасных биологических отходов должны располагаться на расстоянии не менее 1000 м от мест содержания животных.</w:t>
      </w:r>
    </w:p>
    <w:p w14:paraId="396DB757"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11F54A1"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Пункт 2.4 Ветеринарных правил проведения регионализации территории Российской Федерации, утвержденных приказом Минсельхоза России от 14 декабря 2015 г. N 635 (зарегистрирован Минюстом России 23 марта 2016 г., регистрационный N 41508), с изменениями, внесенными приказами Минсельхоза России от 8 декабря 2020 г. N 735 (зарегистрирован Минюстом России 29 января 2021 г., регистрационный N 62284) и от 22 ноября 2021 г. N 784 (зарегистрирован Минюстом России 28 декабря 2021 г., регистрационный N 66604).</w:t>
      </w:r>
    </w:p>
    <w:p w14:paraId="69FE7E06"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6335AEB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Уничтожение умеренно опасных биологических отходов должно осуществляться посредством уничтожения в скотомогильниках посредством их сброса в биотермическую яму под наблюдением специалиста в области ветеринарии, являющегося уполномоченным лицом органов и организаций, входящих в систему Государственной ветеринарной службы Российской Федерации (далее - специалист госветслужбы) &lt;7&gt;, либо сжигания в печах (крематорах, </w:t>
      </w:r>
      <w:proofErr w:type="spellStart"/>
      <w:r>
        <w:rPr>
          <w:rFonts w:ascii="Times New Roman" w:hAnsi="Times New Roman" w:cs="Times New Roman"/>
          <w:sz w:val="24"/>
          <w:szCs w:val="24"/>
        </w:rPr>
        <w:t>инсинераторах</w:t>
      </w:r>
      <w:proofErr w:type="spellEnd"/>
      <w:r>
        <w:rPr>
          <w:rFonts w:ascii="Times New Roman" w:hAnsi="Times New Roman" w:cs="Times New Roman"/>
          <w:sz w:val="24"/>
          <w:szCs w:val="24"/>
        </w:rPr>
        <w:t>) или под открытым небом в траншеях (ямах) до образования негорючего остатка.</w:t>
      </w:r>
    </w:p>
    <w:p w14:paraId="1D7C194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CE2126E"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&lt;7&gt; Пункт 2 статьи 5 </w:t>
      </w:r>
      <w:hyperlink r:id="rId16" w:anchor="l0" w:history="1">
        <w:r>
          <w:rPr>
            <w:rFonts w:ascii="Times New Roman" w:hAnsi="Times New Roman" w:cs="Times New Roman"/>
            <w:sz w:val="24"/>
            <w:szCs w:val="24"/>
            <w:u w:val="single"/>
          </w:rPr>
          <w:t>Закона</w:t>
        </w:r>
      </w:hyperlink>
      <w:r>
        <w:rPr>
          <w:rFonts w:ascii="Times New Roman" w:hAnsi="Times New Roman" w:cs="Times New Roman"/>
          <w:sz w:val="24"/>
          <w:szCs w:val="24"/>
        </w:rPr>
        <w:t>.</w:t>
      </w:r>
    </w:p>
    <w:p w14:paraId="47E9DFCD"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723B8D2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Уничтожение особо опасных биологических отходов должно осуществляться под наблюдением специалиста госветслужбы путем сжигания в печах (крематорах, </w:t>
      </w:r>
      <w:proofErr w:type="spellStart"/>
      <w:r>
        <w:rPr>
          <w:rFonts w:ascii="Times New Roman" w:hAnsi="Times New Roman" w:cs="Times New Roman"/>
          <w:sz w:val="24"/>
          <w:szCs w:val="24"/>
        </w:rPr>
        <w:t>инсинераторах</w:t>
      </w:r>
      <w:proofErr w:type="spellEnd"/>
      <w:r>
        <w:rPr>
          <w:rFonts w:ascii="Times New Roman" w:hAnsi="Times New Roman" w:cs="Times New Roman"/>
          <w:sz w:val="24"/>
          <w:szCs w:val="24"/>
        </w:rPr>
        <w:t>) или под открытым небом в траншеях (ямах) до образования негорючего остатка.</w:t>
      </w:r>
    </w:p>
    <w:p w14:paraId="71A29DD4"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Уничтожение умеренно опасных биологических отходов и особо опасных биологических отходов под открытым небом в траншеях (ямах) до образования негорючего остатка допускается в одном из следующих случаев:</w:t>
      </w:r>
    </w:p>
    <w:p w14:paraId="068DC2AF"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образование трупов животных при одновременном массовом заболевании животных;</w:t>
      </w:r>
    </w:p>
    <w:p w14:paraId="07726003"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образование биологических отходов при отгонном животноводстве, включая оленеводство, в районах Крайнего Севера, перечень которых устанавливается Правительством Российской Федерации &lt;8&gt;.</w:t>
      </w:r>
    </w:p>
    <w:p w14:paraId="49D9FB8D"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A942D5C"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&lt;8&gt; </w:t>
      </w:r>
      <w:hyperlink r:id="rId17" w:anchor="l582" w:history="1">
        <w:r>
          <w:rPr>
            <w:rFonts w:ascii="Times New Roman" w:hAnsi="Times New Roman" w:cs="Times New Roman"/>
            <w:sz w:val="24"/>
            <w:szCs w:val="24"/>
            <w:u w:val="single"/>
          </w:rPr>
          <w:t>Статья 2</w:t>
        </w:r>
      </w:hyperlink>
      <w:r>
        <w:rPr>
          <w:rFonts w:ascii="Times New Roman" w:hAnsi="Times New Roman" w:cs="Times New Roman"/>
          <w:sz w:val="24"/>
          <w:szCs w:val="24"/>
        </w:rPr>
        <w:t xml:space="preserve"> Закона Российской Федерации от 19 февраля 1993 г. N 4520-1 "О государственных гарантиях и компенсациях для лиц, работающих и проживающих в районах Крайнего Севера и приравненных к ним местностях".</w:t>
      </w:r>
    </w:p>
    <w:p w14:paraId="319CF3CC" w14:textId="77777777"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14:paraId="6D4196A0"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Уничтожение биологических отходов в случаях, предусмотренных пунктом 23 настоящих Правил, должно осуществляться под наблюдением специалиста госветслужбы.</w:t>
      </w:r>
    </w:p>
    <w:p w14:paraId="083C56D7"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Траншея (яма) для сжигания биологических отходов должна быть обустроена так, чтобы обеспечивалось нахождение продуктов сжигания биологических отходов в пределах траншеи (ямы).</w:t>
      </w:r>
    </w:p>
    <w:p w14:paraId="0DDC1A00"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Зола и другие негорючие остатки должны захораниваться в той же траншее (яме), в которой проводилось сжигание биологических отходов.</w:t>
      </w:r>
    </w:p>
    <w:p w14:paraId="4FDE25B3" w14:textId="77777777"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Запрещается захоронение биологических отходов в землю, вывоз их на объекты размещения отходов производства и потребления, сброс в бытовые мусорные контейнеры, в поля, леса, овраги, водные объекты, если иное не установлено правилами рыболовства, утвержденными федеральным органом исполнительной власти в области рыболовства в соответствии со </w:t>
      </w:r>
      <w:hyperlink r:id="rId18" w:anchor="l397" w:history="1">
        <w:r>
          <w:rPr>
            <w:rFonts w:ascii="Times New Roman" w:hAnsi="Times New Roman" w:cs="Times New Roman"/>
            <w:sz w:val="24"/>
            <w:szCs w:val="24"/>
            <w:u w:val="single"/>
          </w:rPr>
          <w:t>статьей 43.1</w:t>
        </w:r>
      </w:hyperlink>
      <w:r>
        <w:rPr>
          <w:rFonts w:ascii="Times New Roman" w:hAnsi="Times New Roman" w:cs="Times New Roman"/>
          <w:sz w:val="24"/>
          <w:szCs w:val="24"/>
        </w:rPr>
        <w:t xml:space="preserve"> Федерального закона от 20 декабря 2004 г. N 166-ФЗ "О рыболовстве и сохранении водных биологических ресурсов".</w:t>
      </w:r>
    </w:p>
    <w:p w14:paraId="18592A9B" w14:textId="77777777" w:rsidR="00AF2D14" w:rsidRDefault="00AF2D14">
      <w:pPr>
        <w:rPr>
          <w:rFonts w:ascii="Times New Roman" w:hAnsi="Times New Roman" w:cs="Times New Roman"/>
          <w:sz w:val="24"/>
          <w:szCs w:val="24"/>
        </w:rPr>
      </w:pPr>
    </w:p>
    <w:sectPr w:rsidR="00AF2D1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2D96" w14:textId="77777777" w:rsidR="0069479F" w:rsidRDefault="0069479F">
      <w:pPr>
        <w:spacing w:after="0" w:line="240" w:lineRule="auto"/>
      </w:pPr>
      <w:r>
        <w:separator/>
      </w:r>
    </w:p>
  </w:endnote>
  <w:endnote w:type="continuationSeparator" w:id="0">
    <w:p w14:paraId="666B54DF" w14:textId="77777777" w:rsidR="0069479F" w:rsidRDefault="0069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0473" w14:textId="77777777" w:rsidR="0069479F" w:rsidRDefault="0069479F">
      <w:pPr>
        <w:spacing w:after="0" w:line="240" w:lineRule="auto"/>
      </w:pPr>
      <w:r>
        <w:separator/>
      </w:r>
    </w:p>
  </w:footnote>
  <w:footnote w:type="continuationSeparator" w:id="0">
    <w:p w14:paraId="4C4B7A0A" w14:textId="77777777" w:rsidR="0069479F" w:rsidRDefault="0069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E41BD"/>
    <w:multiLevelType w:val="hybridMultilevel"/>
    <w:tmpl w:val="566A7D26"/>
    <w:lvl w:ilvl="0" w:tplc="85E65B8A">
      <w:start w:val="1"/>
      <w:numFmt w:val="bullet"/>
      <w:lvlText w:val="·"/>
      <w:lvlJc w:val="left"/>
      <w:pPr>
        <w:ind w:left="709" w:hanging="360"/>
      </w:pPr>
      <w:rPr>
        <w:rFonts w:ascii="Symbol" w:eastAsia="Symbol" w:hAnsi="Symbol" w:cs="Symbol" w:hint="default"/>
        <w:color w:val="FFFFFF"/>
        <w:sz w:val="20"/>
        <w:highlight w:val="none"/>
      </w:rPr>
    </w:lvl>
    <w:lvl w:ilvl="1" w:tplc="5A94539A">
      <w:start w:val="1"/>
      <w:numFmt w:val="bullet"/>
      <w:lvlText w:val="·"/>
      <w:lvlJc w:val="left"/>
      <w:pPr>
        <w:ind w:left="1429" w:hanging="360"/>
      </w:pPr>
      <w:rPr>
        <w:rFonts w:ascii="Symbol" w:eastAsia="Symbol" w:hAnsi="Symbol" w:cs="Symbol" w:hint="default"/>
        <w:color w:val="FFFFFF"/>
        <w:sz w:val="20"/>
        <w:highlight w:val="none"/>
      </w:rPr>
    </w:lvl>
    <w:lvl w:ilvl="2" w:tplc="AB3228C8">
      <w:start w:val="1"/>
      <w:numFmt w:val="bullet"/>
      <w:lvlText w:val="·"/>
      <w:lvlJc w:val="left"/>
      <w:pPr>
        <w:ind w:left="2149" w:hanging="360"/>
      </w:pPr>
      <w:rPr>
        <w:rFonts w:ascii="Symbol" w:eastAsia="Symbol" w:hAnsi="Symbol" w:cs="Symbol" w:hint="default"/>
        <w:color w:val="FFFFFF"/>
        <w:sz w:val="20"/>
        <w:highlight w:val="none"/>
      </w:rPr>
    </w:lvl>
    <w:lvl w:ilvl="3" w:tplc="F86AB818">
      <w:start w:val="1"/>
      <w:numFmt w:val="bullet"/>
      <w:lvlText w:val="·"/>
      <w:lvlJc w:val="left"/>
      <w:pPr>
        <w:ind w:left="2869" w:hanging="360"/>
      </w:pPr>
      <w:rPr>
        <w:rFonts w:ascii="Symbol" w:eastAsia="Symbol" w:hAnsi="Symbol" w:cs="Symbol" w:hint="default"/>
        <w:color w:val="FFFFFF"/>
        <w:sz w:val="20"/>
        <w:highlight w:val="none"/>
      </w:rPr>
    </w:lvl>
    <w:lvl w:ilvl="4" w:tplc="E438C664">
      <w:start w:val="1"/>
      <w:numFmt w:val="bullet"/>
      <w:lvlText w:val="·"/>
      <w:lvlJc w:val="left"/>
      <w:pPr>
        <w:ind w:left="3589" w:hanging="360"/>
      </w:pPr>
      <w:rPr>
        <w:rFonts w:ascii="Symbol" w:eastAsia="Symbol" w:hAnsi="Symbol" w:cs="Symbol" w:hint="default"/>
        <w:color w:val="FFFFFF"/>
        <w:sz w:val="20"/>
        <w:highlight w:val="none"/>
      </w:rPr>
    </w:lvl>
    <w:lvl w:ilvl="5" w:tplc="70002C9E">
      <w:start w:val="1"/>
      <w:numFmt w:val="bullet"/>
      <w:lvlText w:val="·"/>
      <w:lvlJc w:val="left"/>
      <w:pPr>
        <w:ind w:left="4309" w:hanging="360"/>
      </w:pPr>
      <w:rPr>
        <w:rFonts w:ascii="Symbol" w:eastAsia="Symbol" w:hAnsi="Symbol" w:cs="Symbol" w:hint="default"/>
        <w:color w:val="FFFFFF"/>
        <w:sz w:val="20"/>
        <w:highlight w:val="none"/>
      </w:rPr>
    </w:lvl>
    <w:lvl w:ilvl="6" w:tplc="F3C44B66">
      <w:start w:val="1"/>
      <w:numFmt w:val="bullet"/>
      <w:lvlText w:val="·"/>
      <w:lvlJc w:val="left"/>
      <w:pPr>
        <w:ind w:left="5029" w:hanging="360"/>
      </w:pPr>
      <w:rPr>
        <w:rFonts w:ascii="Symbol" w:eastAsia="Symbol" w:hAnsi="Symbol" w:cs="Symbol" w:hint="default"/>
        <w:color w:val="FFFFFF"/>
        <w:sz w:val="20"/>
        <w:highlight w:val="none"/>
      </w:rPr>
    </w:lvl>
    <w:lvl w:ilvl="7" w:tplc="14FC813E">
      <w:start w:val="1"/>
      <w:numFmt w:val="bullet"/>
      <w:lvlText w:val="·"/>
      <w:lvlJc w:val="left"/>
      <w:pPr>
        <w:ind w:left="5749" w:hanging="360"/>
      </w:pPr>
      <w:rPr>
        <w:rFonts w:ascii="Symbol" w:eastAsia="Symbol" w:hAnsi="Symbol" w:cs="Symbol" w:hint="default"/>
        <w:color w:val="FFFFFF"/>
        <w:sz w:val="20"/>
        <w:highlight w:val="none"/>
      </w:rPr>
    </w:lvl>
    <w:lvl w:ilvl="8" w:tplc="C78272CE">
      <w:start w:val="1"/>
      <w:numFmt w:val="bullet"/>
      <w:lvlText w:val="·"/>
      <w:lvlJc w:val="left"/>
      <w:pPr>
        <w:ind w:left="6469" w:hanging="360"/>
      </w:pPr>
      <w:rPr>
        <w:rFonts w:ascii="Symbol" w:eastAsia="Symbol" w:hAnsi="Symbol" w:cs="Symbol" w:hint="default"/>
        <w:color w:val="FFFFFF"/>
        <w:sz w:val="20"/>
        <w:highlight w:val="none"/>
      </w:rPr>
    </w:lvl>
  </w:abstractNum>
  <w:num w:numId="1" w16cid:durableId="683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14"/>
    <w:rsid w:val="001842F8"/>
    <w:rsid w:val="00247C2D"/>
    <w:rsid w:val="0057179B"/>
    <w:rsid w:val="00640666"/>
    <w:rsid w:val="0069479F"/>
    <w:rsid w:val="006A27E5"/>
    <w:rsid w:val="00AF2D14"/>
    <w:rsid w:val="00B60D68"/>
    <w:rsid w:val="00BC18D2"/>
    <w:rsid w:val="00E32E43"/>
    <w:rsid w:val="00E71E3C"/>
    <w:rsid w:val="00E9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A797"/>
  <w15:docId w15:val="{E6E47D66-D89B-43C2-889D-04A5D544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5031" TargetMode="External"/><Relationship Id="rId13" Type="http://schemas.openxmlformats.org/officeDocument/2006/relationships/hyperlink" Target="https://normativ.kontur.ru/document?moduleid=1&amp;documentid=475005" TargetMode="External"/><Relationship Id="rId18" Type="http://schemas.openxmlformats.org/officeDocument/2006/relationships/hyperlink" Target="https://normativ.kontur.ru/document?moduleid=1&amp;documentid=479921" TargetMode="External"/><Relationship Id="rId3" Type="http://schemas.openxmlformats.org/officeDocument/2006/relationships/settings" Target="settings.xml"/><Relationship Id="rId7" Type="http://schemas.openxmlformats.org/officeDocument/2006/relationships/hyperlink" Target="https://normativ.kontur.ru/document?moduleid=1&amp;documentid=475732" TargetMode="External"/><Relationship Id="rId12" Type="http://schemas.openxmlformats.org/officeDocument/2006/relationships/hyperlink" Target="https://normativ.kontur.ru/document?moduleid=1&amp;documentid=411524" TargetMode="External"/><Relationship Id="rId17" Type="http://schemas.openxmlformats.org/officeDocument/2006/relationships/hyperlink" Target="https://normativ.kontur.ru/document?moduleid=1&amp;documentid=463955" TargetMode="External"/><Relationship Id="rId2" Type="http://schemas.openxmlformats.org/officeDocument/2006/relationships/styles" Target="styles.xml"/><Relationship Id="rId16" Type="http://schemas.openxmlformats.org/officeDocument/2006/relationships/hyperlink" Target="https://normativ.kontur.ru/document?moduleid=1&amp;documentid=47573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66054"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75732" TargetMode="External"/><Relationship Id="rId10" Type="http://schemas.openxmlformats.org/officeDocument/2006/relationships/hyperlink" Target="https://normativ.kontur.ru/document?moduleid=1&amp;documentid=4660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466054" TargetMode="External"/><Relationship Id="rId14" Type="http://schemas.openxmlformats.org/officeDocument/2006/relationships/hyperlink" Target="https://normativ.kontur.ru/document?moduleid=1&amp;documentid=475732"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Кириченко</dc:creator>
  <cp:lastModifiedBy>АКсп</cp:lastModifiedBy>
  <cp:revision>2</cp:revision>
  <dcterms:created xsi:type="dcterms:W3CDTF">2025-12-22T12:29:00Z</dcterms:created>
  <dcterms:modified xsi:type="dcterms:W3CDTF">2025-12-22T12:29:00Z</dcterms:modified>
</cp:coreProperties>
</file>